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56" w:rsidRPr="00445656" w:rsidRDefault="00445656" w:rsidP="00445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445656" w:rsidRPr="00445656">
          <w:pgSz w:w="10800" w:h="16100"/>
          <w:pgMar w:top="1400" w:right="900" w:bottom="0" w:left="900" w:header="720" w:footer="720" w:gutter="0"/>
          <w:cols w:space="720"/>
          <w:noEndnote/>
        </w:sectPr>
      </w:pPr>
    </w:p>
    <w:p w:rsidR="00445656" w:rsidRPr="00445656" w:rsidRDefault="00445656" w:rsidP="00445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1831"/>
        <w:tblW w:w="0" w:type="auto"/>
        <w:tblLayout w:type="fixed"/>
        <w:tblLook w:val="0000" w:firstRow="0" w:lastRow="0" w:firstColumn="0" w:lastColumn="0" w:noHBand="0" w:noVBand="0"/>
      </w:tblPr>
      <w:tblGrid>
        <w:gridCol w:w="1956"/>
        <w:gridCol w:w="1956"/>
      </w:tblGrid>
      <w:tr w:rsidR="00445656" w:rsidRPr="00445656" w:rsidTr="00445656">
        <w:trPr>
          <w:trHeight w:val="120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565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Marks</w:t>
            </w:r>
            <w:proofErr w:type="spellEnd"/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445656" w:rsidRPr="00445656" w:rsidTr="00445656">
        <w:trPr>
          <w:trHeight w:val="699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Band 2 </w:t>
            </w:r>
          </w:p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Simple</w:t>
            </w:r>
          </w:p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3-6 marks</w:t>
            </w:r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response begins to explain the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importance of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given factor or other factor(s) in relation to the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question. This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is supported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with some factual detail. Explanations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will not be fully developed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45656" w:rsidRPr="00445656" w:rsidTr="00445656">
        <w:trPr>
          <w:trHeight w:val="939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Band 3Developed</w:t>
            </w:r>
          </w:p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7-9 marks</w:t>
            </w:r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response includes a developed explanation of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both of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given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factors. This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is focussed on the question and well supported with specific factual detail and examples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The answer may begin to develop an overall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judgement,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however this is not fully developed. </w:t>
            </w:r>
          </w:p>
        </w:tc>
      </w:tr>
      <w:tr w:rsidR="00445656" w:rsidRPr="00445656" w:rsidTr="00445656">
        <w:trPr>
          <w:trHeight w:val="1179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Band 4Complex10-12 marks</w:t>
            </w:r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response explains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both of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given factors in detail. These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are precisely focussed on the question and well supported with specific factual detail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Students will be able to make links between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factors to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help them reach a sustained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judgement as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the relative importance of factors in response to the question. </w:t>
            </w:r>
          </w:p>
        </w:tc>
      </w:tr>
    </w:tbl>
    <w:p w:rsidR="00445656" w:rsidRDefault="004456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2223135</wp:posOffset>
                </wp:positionV>
                <wp:extent cx="3200400" cy="3114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45656" w:rsidRDefault="00445656">
                            <w:r>
                              <w:t xml:space="preserve">Which of the following </w:t>
                            </w:r>
                            <w:proofErr w:type="gramStart"/>
                            <w:r w:rsidR="00D54C73">
                              <w:t>were</w:t>
                            </w:r>
                            <w:r w:rsidR="002C2FC3">
                              <w:t xml:space="preserve"> more </w:t>
                            </w:r>
                            <w:r w:rsidR="00D54C73">
                              <w:t>affected</w:t>
                            </w:r>
                            <w:proofErr w:type="gramEnd"/>
                            <w:r w:rsidR="00D54C73">
                              <w:t xml:space="preserve"> by</w:t>
                            </w:r>
                            <w:r w:rsidR="002C2FC3">
                              <w:t xml:space="preserve"> </w:t>
                            </w:r>
                            <w:r w:rsidR="00D54C73">
                              <w:t>Nazi party policies</w:t>
                            </w:r>
                          </w:p>
                          <w:p w:rsidR="00445656" w:rsidRDefault="00445656"/>
                          <w:p w:rsidR="00445656" w:rsidRDefault="00D54C73" w:rsidP="0044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Farmers and agricultural workers</w:t>
                            </w:r>
                          </w:p>
                          <w:p w:rsidR="00445656" w:rsidRDefault="00D54C73" w:rsidP="0044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Industrial and factory workers</w:t>
                            </w:r>
                          </w:p>
                          <w:p w:rsidR="00445656" w:rsidRDefault="00445656" w:rsidP="00445656"/>
                          <w:p w:rsidR="00445656" w:rsidRDefault="00445656" w:rsidP="00445656">
                            <w:r>
                              <w:t>Explain with reference to both</w:t>
                            </w:r>
                            <w:r w:rsidR="002C2FC3">
                              <w:t xml:space="preserve"> </w:t>
                            </w:r>
                            <w:r w:rsidR="00D54C73">
                              <w:t>groups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75.05pt;width:252pt;height:2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" fillcolor="white [3201]" strokecolor="#5b9bd5 [3204]" strokeweight=".5pt">
                <v:textbox>
                  <w:txbxContent>
                    <w:p w:rsidR="00445656" w:rsidRDefault="00445656">
                      <w:r>
                        <w:t xml:space="preserve">Which of the following </w:t>
                      </w:r>
                      <w:proofErr w:type="gramStart"/>
                      <w:r w:rsidR="00D54C73">
                        <w:t>were</w:t>
                      </w:r>
                      <w:r w:rsidR="002C2FC3">
                        <w:t xml:space="preserve"> more </w:t>
                      </w:r>
                      <w:r w:rsidR="00D54C73">
                        <w:t>affected</w:t>
                      </w:r>
                      <w:proofErr w:type="gramEnd"/>
                      <w:r w:rsidR="00D54C73">
                        <w:t xml:space="preserve"> by</w:t>
                      </w:r>
                      <w:r w:rsidR="002C2FC3">
                        <w:t xml:space="preserve"> </w:t>
                      </w:r>
                      <w:r w:rsidR="00D54C73">
                        <w:t>Nazi party policies</w:t>
                      </w:r>
                    </w:p>
                    <w:p w:rsidR="00445656" w:rsidRDefault="00445656"/>
                    <w:p w:rsidR="00445656" w:rsidRDefault="00D54C73" w:rsidP="004456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Farmers and agricultural workers</w:t>
                      </w:r>
                    </w:p>
                    <w:p w:rsidR="00445656" w:rsidRDefault="00D54C73" w:rsidP="004456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Industrial and factory workers</w:t>
                      </w:r>
                    </w:p>
                    <w:p w:rsidR="00445656" w:rsidRDefault="00445656" w:rsidP="00445656"/>
                    <w:p w:rsidR="00445656" w:rsidRDefault="00445656" w:rsidP="00445656">
                      <w:r>
                        <w:t>Explain with reference to both</w:t>
                      </w:r>
                      <w:r w:rsidR="002C2FC3">
                        <w:t xml:space="preserve"> </w:t>
                      </w:r>
                      <w:r w:rsidR="00D54C73">
                        <w:t>groups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2809875" cy="1752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Consider the whole of the key event.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Reference both factors given in the question.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Explain the importance of factors in detail. 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The use of precise historical evidence and examples.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Top marks –consider the extent of the importance of each factor.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Sustained judgement.</w:t>
                            </w:r>
                          </w:p>
                          <w:p w:rsidR="00445656" w:rsidRDefault="00445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pt;margin-top:12.3pt;width:221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" fillcolor="white [3201]" strokeweight=".5pt">
                <v:textbox>
                  <w:txbxContent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Consider the whole of the key event.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Reference both factors given in the question.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Explain the importance of factors in detail. 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The use of precise historical evidence and examples.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Top marks –consider the extent of the importance of each factor.</w:t>
                      </w:r>
                    </w:p>
                    <w:p w:rsidR="00445656" w:rsidRDefault="00445656" w:rsidP="00445656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Sustained judgement.</w:t>
                      </w:r>
                    </w:p>
                    <w:p w:rsidR="00445656" w:rsidRDefault="00445656"/>
                  </w:txbxContent>
                </v:textbox>
              </v:shape>
            </w:pict>
          </mc:Fallback>
        </mc:AlternateContent>
      </w:r>
    </w:p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Default="00445656" w:rsidP="00445656"/>
    <w:p w:rsidR="00826DBE" w:rsidRDefault="00445656" w:rsidP="00445656">
      <w:pPr>
        <w:tabs>
          <w:tab w:val="left" w:pos="2850"/>
        </w:tabs>
      </w:pPr>
      <w:r>
        <w:tab/>
      </w: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Pr="00445656" w:rsidRDefault="00445656" w:rsidP="00445656">
      <w:pPr>
        <w:tabs>
          <w:tab w:val="left" w:pos="285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-384175</wp:posOffset>
                </wp:positionV>
                <wp:extent cx="6391275" cy="9105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10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656" w:rsidRDefault="00445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28.5pt;margin-top:-30.25pt;width:503.25pt;height:7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" fillcolor="white [3201]" strokeweight=".5pt">
                <v:textbox>
                  <w:txbxContent>
                    <w:p w:rsidR="00445656" w:rsidRDefault="00445656"/>
                  </w:txbxContent>
                </v:textbox>
              </v:shape>
            </w:pict>
          </mc:Fallback>
        </mc:AlternateContent>
      </w:r>
    </w:p>
    <w:sectPr w:rsidR="00445656" w:rsidRPr="00445656" w:rsidSect="009C51F6">
      <w:pgSz w:w="10800" w:h="161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7B9"/>
    <w:multiLevelType w:val="hybridMultilevel"/>
    <w:tmpl w:val="461E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56"/>
    <w:rsid w:val="002C2FC3"/>
    <w:rsid w:val="00445656"/>
    <w:rsid w:val="00826DBE"/>
    <w:rsid w:val="00D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C756"/>
  <w15:chartTrackingRefBased/>
  <w15:docId w15:val="{798F0EEB-24EC-45A2-A070-3C4F643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97B59EBB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2018-06-18T13:57:00Z</dcterms:created>
  <dcterms:modified xsi:type="dcterms:W3CDTF">2018-06-18T13:57:00Z</dcterms:modified>
</cp:coreProperties>
</file>