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56" w:rsidRPr="00445656" w:rsidRDefault="00445656" w:rsidP="00445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445656" w:rsidRPr="00445656">
          <w:pgSz w:w="10800" w:h="16100"/>
          <w:pgMar w:top="1400" w:right="900" w:bottom="0" w:left="900" w:header="720" w:footer="720" w:gutter="0"/>
          <w:cols w:space="720"/>
          <w:noEndnote/>
        </w:sectPr>
      </w:pPr>
      <w:bookmarkStart w:id="0" w:name="_GoBack"/>
      <w:bookmarkEnd w:id="0"/>
    </w:p>
    <w:p w:rsidR="00445656" w:rsidRPr="00445656" w:rsidRDefault="00445656" w:rsidP="004456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1831"/>
        <w:tblW w:w="0" w:type="auto"/>
        <w:tblLayout w:type="fixed"/>
        <w:tblLook w:val="0000" w:firstRow="0" w:lastRow="0" w:firstColumn="0" w:lastColumn="0" w:noHBand="0" w:noVBand="0"/>
      </w:tblPr>
      <w:tblGrid>
        <w:gridCol w:w="1956"/>
        <w:gridCol w:w="1956"/>
      </w:tblGrid>
      <w:tr w:rsidR="00445656" w:rsidRPr="00445656" w:rsidTr="00445656">
        <w:trPr>
          <w:trHeight w:val="120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565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Marks</w:t>
            </w:r>
            <w:proofErr w:type="spellEnd"/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445656" w:rsidRPr="00445656" w:rsidTr="00445656">
        <w:trPr>
          <w:trHeight w:val="699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Band 2 </w:t>
            </w:r>
          </w:p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Simple</w:t>
            </w:r>
          </w:p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3-6 marks</w:t>
            </w:r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response begins to explain the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importance of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given factor or other factor(s) in relation to the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question. This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is supported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with some factual detail. Explanations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will not be fully developed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45656" w:rsidRPr="00445656" w:rsidTr="00445656">
        <w:trPr>
          <w:trHeight w:val="939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Band 3Developed</w:t>
            </w:r>
          </w:p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7-9 marks</w:t>
            </w:r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response includes a developed explanation of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both of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given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factors. This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is focussed on the question and well supported with specific factual detail and examples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The answer may begin to develop an overall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judgement,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however this is not fully developed. </w:t>
            </w:r>
          </w:p>
        </w:tc>
      </w:tr>
      <w:tr w:rsidR="00445656" w:rsidRPr="00445656" w:rsidTr="00445656">
        <w:trPr>
          <w:trHeight w:val="1179"/>
        </w:trPr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44565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Band 4Complex10-12 marks</w:t>
            </w:r>
          </w:p>
        </w:tc>
        <w:tc>
          <w:tcPr>
            <w:tcW w:w="1956" w:type="dxa"/>
          </w:tcPr>
          <w:p w:rsidR="00445656" w:rsidRPr="00445656" w:rsidRDefault="00445656" w:rsidP="0044565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response explains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both of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given factors in detail. These </w:t>
            </w:r>
            <w:proofErr w:type="gramStart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are precisely focussed on the question and well supported with specific factual detail</w:t>
            </w:r>
            <w:proofErr w:type="gramEnd"/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Students will be able to make links between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factors to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help them reach a sustained 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>judgement as</w:t>
            </w:r>
            <w:r w:rsidRPr="004456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 the relative importance of factors in response to the question. </w:t>
            </w:r>
          </w:p>
        </w:tc>
      </w:tr>
    </w:tbl>
    <w:p w:rsidR="00445656" w:rsidRDefault="004456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2223135</wp:posOffset>
                </wp:positionV>
                <wp:extent cx="3200400" cy="3114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45656" w:rsidRDefault="00445656">
                            <w:r>
                              <w:t>Which of the following had a greater impact on the lives of the German people?</w:t>
                            </w:r>
                          </w:p>
                          <w:p w:rsidR="00445656" w:rsidRDefault="00445656"/>
                          <w:p w:rsidR="00445656" w:rsidRDefault="00445656" w:rsidP="0044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Treaty of Versailles</w:t>
                            </w:r>
                          </w:p>
                          <w:p w:rsidR="00445656" w:rsidRDefault="00445656" w:rsidP="00445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Hyperinflation crisis of 1923</w:t>
                            </w:r>
                          </w:p>
                          <w:p w:rsidR="00445656" w:rsidRDefault="00445656" w:rsidP="00445656"/>
                          <w:p w:rsidR="00445656" w:rsidRDefault="00445656" w:rsidP="00445656">
                            <w:r>
                              <w:t>Explain with reference to both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75.05pt;width:252pt;height:2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" fillcolor="white [3201]" strokecolor="#5b9bd5 [3204]" strokeweight=".5pt">
                <v:textbox>
                  <w:txbxContent>
                    <w:p w:rsidR="00445656" w:rsidRDefault="00445656">
                      <w:r>
                        <w:t>Which of the following had a greater impact on the lives of the German people?</w:t>
                      </w:r>
                    </w:p>
                    <w:p w:rsidR="00445656" w:rsidRDefault="00445656"/>
                    <w:p w:rsidR="00445656" w:rsidRDefault="00445656" w:rsidP="004456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Treaty of Versailles</w:t>
                      </w:r>
                    </w:p>
                    <w:p w:rsidR="00445656" w:rsidRDefault="00445656" w:rsidP="0044565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Hyperinflation crisis of 1923</w:t>
                      </w:r>
                    </w:p>
                    <w:p w:rsidR="00445656" w:rsidRDefault="00445656" w:rsidP="00445656"/>
                    <w:p w:rsidR="00445656" w:rsidRDefault="00445656" w:rsidP="00445656">
                      <w:r>
                        <w:t>Explain with reference to both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2809875" cy="1752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Consider the whole of the key event.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Reference both factors given in the question.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Explain the importance of factors in detail. 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The use of precise historical evidence and examples.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spacing w:after="13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Top marks –consider the extent of the importance of each factor.</w:t>
                            </w:r>
                          </w:p>
                          <w:p w:rsidR="00445656" w:rsidRDefault="00445656" w:rsidP="00445656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Sustained judgement.</w:t>
                            </w:r>
                          </w:p>
                          <w:p w:rsidR="00445656" w:rsidRDefault="00445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pt;margin-top:12.3pt;width:221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" fillcolor="white [3201]" strokeweight=".5pt">
                <v:textbox>
                  <w:txbxContent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Consider the whole of the key event.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Reference both factors given in the question.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 xml:space="preserve">Explain the importance of factors in detail. 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The use of precise historical evidence and examples.</w:t>
                      </w:r>
                    </w:p>
                    <w:p w:rsidR="00445656" w:rsidRDefault="00445656" w:rsidP="00445656">
                      <w:pPr>
                        <w:pStyle w:val="Default"/>
                        <w:spacing w:after="13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Top marks –consider the extent of the importance of each factor.</w:t>
                      </w:r>
                    </w:p>
                    <w:p w:rsidR="00445656" w:rsidRDefault="00445656" w:rsidP="00445656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Sustained judgement.</w:t>
                      </w:r>
                    </w:p>
                    <w:p w:rsidR="00445656" w:rsidRDefault="00445656"/>
                  </w:txbxContent>
                </v:textbox>
              </v:shape>
            </w:pict>
          </mc:Fallback>
        </mc:AlternateContent>
      </w:r>
    </w:p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Pr="00445656" w:rsidRDefault="00445656" w:rsidP="00445656"/>
    <w:p w:rsidR="00445656" w:rsidRDefault="00445656" w:rsidP="00445656"/>
    <w:p w:rsidR="00826DBE" w:rsidRDefault="00445656" w:rsidP="00445656">
      <w:pPr>
        <w:tabs>
          <w:tab w:val="left" w:pos="2850"/>
        </w:tabs>
      </w:pPr>
      <w:r>
        <w:tab/>
      </w: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Default="00445656" w:rsidP="00445656">
      <w:pPr>
        <w:tabs>
          <w:tab w:val="left" w:pos="2850"/>
        </w:tabs>
      </w:pPr>
    </w:p>
    <w:p w:rsidR="00445656" w:rsidRPr="00445656" w:rsidRDefault="00445656" w:rsidP="00445656">
      <w:pPr>
        <w:tabs>
          <w:tab w:val="left" w:pos="285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-384175</wp:posOffset>
                </wp:positionV>
                <wp:extent cx="6391275" cy="9105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10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656" w:rsidRDefault="004456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28.5pt;margin-top:-30.25pt;width:503.25pt;height:7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" fillcolor="white [3201]" strokeweight=".5pt">
                <v:textbox>
                  <w:txbxContent>
                    <w:p w:rsidR="00445656" w:rsidRDefault="00445656"/>
                  </w:txbxContent>
                </v:textbox>
              </v:shape>
            </w:pict>
          </mc:Fallback>
        </mc:AlternateContent>
      </w:r>
    </w:p>
    <w:sectPr w:rsidR="00445656" w:rsidRPr="00445656" w:rsidSect="009C51F6">
      <w:pgSz w:w="10800" w:h="1610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7B9"/>
    <w:multiLevelType w:val="hybridMultilevel"/>
    <w:tmpl w:val="461E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56"/>
    <w:rsid w:val="00445656"/>
    <w:rsid w:val="0082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C756"/>
  <w15:chartTrackingRefBased/>
  <w15:docId w15:val="{798F0EEB-24EC-45A2-A070-3C4F643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5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4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97B59EBB</Template>
  <TotalTime>6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1</cp:revision>
  <dcterms:created xsi:type="dcterms:W3CDTF">2018-06-18T13:44:00Z</dcterms:created>
  <dcterms:modified xsi:type="dcterms:W3CDTF">2018-06-18T13:50:00Z</dcterms:modified>
</cp:coreProperties>
</file>